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B4" w:rsidRDefault="00F60BB4" w:rsidP="00F60B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ESPP</w:t>
      </w:r>
    </w:p>
    <w:p w:rsidR="00F60BB4" w:rsidRDefault="00F60BB4" w:rsidP="00F60B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Symposium Plurality</w:t>
      </w:r>
    </w:p>
    <w:p w:rsidR="00F60BB4" w:rsidRDefault="00F60BB4" w:rsidP="00F60B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 16, 2014</w:t>
      </w:r>
    </w:p>
    <w:p w:rsidR="00F60BB4" w:rsidRDefault="00F60BB4" w:rsidP="00F60B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793B" w:rsidRPr="00F60BB4" w:rsidRDefault="0043469D" w:rsidP="00D8793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60BB4">
        <w:rPr>
          <w:rFonts w:ascii="Times New Roman" w:hAnsi="Times New Roman" w:cs="Times New Roman"/>
          <w:b/>
          <w:sz w:val="32"/>
          <w:szCs w:val="32"/>
          <w:lang w:val="en-US"/>
        </w:rPr>
        <w:t>Plural Reference</w:t>
      </w:r>
      <w:r w:rsidR="00D8793B" w:rsidRPr="00F60BB4">
        <w:rPr>
          <w:rFonts w:ascii="Times New Roman" w:hAnsi="Times New Roman" w:cs="Times New Roman"/>
          <w:b/>
          <w:sz w:val="32"/>
          <w:szCs w:val="32"/>
          <w:lang w:val="en-US"/>
        </w:rPr>
        <w:t>: Em</w:t>
      </w:r>
      <w:r w:rsidR="00F60BB4">
        <w:rPr>
          <w:rFonts w:ascii="Times New Roman" w:hAnsi="Times New Roman" w:cs="Times New Roman"/>
          <w:b/>
          <w:sz w:val="32"/>
          <w:szCs w:val="32"/>
          <w:lang w:val="en-US"/>
        </w:rPr>
        <w:t>pirical Consider</w:t>
      </w:r>
      <w:r w:rsidR="00D8793B" w:rsidRPr="00F60BB4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="00F60BB4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="00D8793B" w:rsidRPr="00F60BB4">
        <w:rPr>
          <w:rFonts w:ascii="Times New Roman" w:hAnsi="Times New Roman" w:cs="Times New Roman"/>
          <w:b/>
          <w:sz w:val="32"/>
          <w:szCs w:val="32"/>
          <w:lang w:val="en-US"/>
        </w:rPr>
        <w:t>ions</w:t>
      </w:r>
    </w:p>
    <w:p w:rsidR="00D8793B" w:rsidRPr="00D8793B" w:rsidRDefault="00D8793B" w:rsidP="00D879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8793B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D8793B" w:rsidRPr="00D8793B" w:rsidRDefault="00D8793B" w:rsidP="00F60B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8793B">
        <w:rPr>
          <w:rFonts w:ascii="Times New Roman" w:hAnsi="Times New Roman" w:cs="Times New Roman"/>
          <w:sz w:val="24"/>
          <w:szCs w:val="24"/>
          <w:lang w:val="en-US"/>
        </w:rPr>
        <w:t>CNRS/NYU</w:t>
      </w:r>
    </w:p>
    <w:p w:rsidR="001A0873" w:rsidRPr="00D8793B" w:rsidRDefault="0043469D" w:rsidP="00F60B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793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8793B" w:rsidRPr="00AE5335" w:rsidRDefault="00D8793B" w:rsidP="00F60BB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5335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to a plurality</w:t>
      </w:r>
    </w:p>
    <w:p w:rsidR="00D8793B" w:rsidRPr="00D8793B" w:rsidRDefault="00D8793B" w:rsidP="00F60B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>(1) a. [</w:t>
      </w:r>
      <w:r w:rsidRPr="00D8793B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children</w:t>
      </w: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>]</w:t>
      </w:r>
      <w:r w:rsidRPr="00D87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s</w:t>
      </w: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= sum([</w:t>
      </w:r>
      <w:r w:rsidRPr="00D8793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children</w:t>
      </w: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>]</w:t>
      </w:r>
      <w:r w:rsidRPr="00D87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s</w:t>
      </w: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</w:p>
    <w:p w:rsidR="00D8793B" w:rsidRPr="00D8793B" w:rsidRDefault="00D8793B" w:rsidP="00F60B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D8793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Plural Reference</w:t>
      </w:r>
    </w:p>
    <w:p w:rsidR="00D8793B" w:rsidRPr="00D8793B" w:rsidRDefault="00D8793B" w:rsidP="00F60B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(1) b. </w:t>
      </w:r>
      <w:r w:rsidRPr="00D8793B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children gathered</w:t>
      </w: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true iff </w:t>
      </w:r>
      <w:r w:rsidRPr="00D8793B">
        <w:rPr>
          <w:rFonts w:ascii="Times New Roman" w:eastAsia="Calibri" w:hAnsi="Times New Roman" w:cs="Times New Roman"/>
          <w:i/>
          <w:sz w:val="24"/>
          <w:szCs w:val="24"/>
          <w:lang w:val="en-GB"/>
        </w:rPr>
        <w:t>gathered</w:t>
      </w: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true at once of all the xx of which </w:t>
      </w:r>
    </w:p>
    <w:p w:rsidR="00D8793B" w:rsidRDefault="00D8793B" w:rsidP="00F60B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</w:t>
      </w:r>
      <w:r w:rsidRPr="00D8793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children</w:t>
      </w:r>
      <w:r w:rsidRPr="00D879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true at once.</w:t>
      </w:r>
    </w:p>
    <w:p w:rsidR="00D452C3" w:rsidRPr="00D452C3" w:rsidRDefault="00D452C3" w:rsidP="00F60B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D452C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Philosophical motivations for plural reference:</w:t>
      </w:r>
    </w:p>
    <w:p w:rsidR="00D452C3" w:rsidRPr="00D452C3" w:rsidRDefault="00D452C3" w:rsidP="00D452C3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452C3">
        <w:rPr>
          <w:rFonts w:ascii="Times New Roman" w:eastAsia="Calibri" w:hAnsi="Times New Roman" w:cs="Times New Roman"/>
          <w:sz w:val="24"/>
          <w:szCs w:val="24"/>
          <w:lang w:val="en-GB"/>
        </w:rPr>
        <w:t>Avoid paradoxes</w:t>
      </w:r>
    </w:p>
    <w:p w:rsidR="00D452C3" w:rsidRPr="00D452C3" w:rsidRDefault="00D452C3" w:rsidP="00D452C3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Plural sentences involve no ontological commitment beyond that to individuals.</w:t>
      </w:r>
    </w:p>
    <w:p w:rsidR="00D452C3" w:rsidRPr="00C70AD1" w:rsidRDefault="00D452C3">
      <w:pPr>
        <w:rPr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------------------------------------------------------------------------------------------------------</w:t>
      </w:r>
    </w:p>
    <w:p w:rsid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21B4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Plural-specific predicates and readings of predicates</w:t>
      </w:r>
    </w:p>
    <w:p w:rsidR="00C70AD1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AE5335" w:rsidRDefault="00AE5335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[1] 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istributive reading</w:t>
      </w:r>
    </w:p>
    <w:p w:rsidR="00421B43" w:rsidRDefault="0054565B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) a. The boxes are heavy.</w:t>
      </w:r>
    </w:p>
    <w:p w:rsidR="00421B43" w:rsidRDefault="00AE5335" w:rsidP="00AE53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The collection of boxes is heavy.</w:t>
      </w:r>
    </w:p>
    <w:p w:rsidR="00AE5335" w:rsidRPr="00421B43" w:rsidRDefault="0054565B" w:rsidP="00AE53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(3</w:t>
      </w:r>
      <w:r w:rsidR="00AE5335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a. The team members lifted the piano.</w:t>
      </w:r>
    </w:p>
    <w:p w:rsidR="00AE5335" w:rsidRDefault="00AE5335" w:rsidP="00AE53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b. The team lifted the piano.</w:t>
      </w:r>
    </w:p>
    <w:p w:rsidR="00421B43" w:rsidRPr="00421B43" w:rsidRDefault="00AE5335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distribution over subgroups: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4565B">
        <w:rPr>
          <w:rFonts w:ascii="Times New Roman" w:eastAsia="Calibri" w:hAnsi="Times New Roman" w:cs="Times New Roman"/>
          <w:sz w:val="24"/>
          <w:szCs w:val="24"/>
          <w:lang w:val="en-US"/>
        </w:rPr>
        <w:t>4) a</w:t>
      </w: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. John weighed the stones</w:t>
      </w:r>
    </w:p>
    <w:p w:rsidR="00421B43" w:rsidRPr="00421B43" w:rsidRDefault="0054565B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. The students gathered.</w:t>
      </w:r>
    </w:p>
    <w:p w:rsidR="00421B43" w:rsidRPr="00421B43" w:rsidRDefault="0054565B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AE5335">
        <w:rPr>
          <w:rFonts w:ascii="Times New Roman" w:eastAsia="Calibri" w:hAnsi="Times New Roman" w:cs="Times New Roman"/>
          <w:sz w:val="24"/>
          <w:szCs w:val="24"/>
          <w:lang w:val="en-US"/>
        </w:rPr>
        <w:t>istributivity operator:</w:t>
      </w:r>
    </w:p>
    <w:p w:rsidR="00AE5335" w:rsidRDefault="0054565B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(5) 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a situation s, [D VP]([</w:t>
      </w:r>
      <w:r w:rsidR="00421B43" w:rsidRPr="00421B4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N’</w:t>
      </w:r>
      <w:r w:rsidR="00421B43" w:rsidRPr="00421B4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plur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], s) = 1 iff  for all d, d &lt;</w:t>
      </w:r>
      <w:r w:rsidR="00421B43" w:rsidRPr="00421B4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="00421B43" w:rsidRPr="00421B4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N’</w:t>
      </w:r>
      <w:r w:rsidR="00421B43" w:rsidRPr="00421B4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plur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], [VP](d) = 1.</w:t>
      </w:r>
    </w:p>
    <w:p w:rsidR="00C70AD1" w:rsidRPr="00C70AD1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21B43" w:rsidRPr="00421B43" w:rsidRDefault="00AE5335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[2] P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art-related predicates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predicate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making reference to the parts, but not the whole of an argument (Moltmann 1997, 2005):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(6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a. John compared the students.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b. # John compared the class.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(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7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a. John cannot distinguish the students.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b. # John cannot distinguish the class.</w:t>
      </w:r>
    </w:p>
    <w:p w:rsidR="00C70AD1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(8) a. 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The students are similar.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The class is similar.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(9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a. John counted the students.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John counted the class. 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(10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a. John has enumerated the students.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# John has enumerated the class.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(1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1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a. The students are numerous.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b. # The class is numerous.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Predicates that make reference not only to the parts of an argument, but also to the whole (its organization or overall structure)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not subject to the requirement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(1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John organized / rearranged the collection of things on his desk.</w:t>
      </w:r>
    </w:p>
    <w:p w:rsidR="00421B43" w:rsidRPr="00421B43" w:rsidRDefault="00AE5335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art-related predicates may take into account relevant subgroups as the parts of the plurality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(1</w:t>
      </w:r>
      <w:r w:rsidR="00C70AD1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) a. John compared the men and the women.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compared the students (in the different classes).</w:t>
      </w:r>
    </w:p>
    <w:p w:rsidR="00AE5335" w:rsidRPr="00D452C3" w:rsidRDefault="00F71FF7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52C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onstraint on </w:t>
      </w:r>
      <w:r w:rsidR="00AE5335" w:rsidRPr="00D452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distributivity and 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part-related pr</w:t>
      </w:r>
      <w:r w:rsidRPr="00D452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edicates: </w:t>
      </w:r>
    </w:p>
    <w:p w:rsidR="00F71FF7" w:rsidRDefault="00AE5335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421B43" w:rsidRPr="00421B4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Accessibility Requirement</w:t>
      </w:r>
      <w:r w:rsidR="00F71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F71FF7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Moltmann (1997, 1998, 2005)</w:t>
      </w:r>
    </w:p>
    <w:p w:rsidR="00C70AD1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Accessibility Requirement not strictly a restriction to plural NPs, but may also be satisfied with singular count NPs of certain types. </w:t>
      </w:r>
    </w:p>
    <w:p w:rsidR="00421B43" w:rsidRPr="00421B43" w:rsidRDefault="00D452C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[1] The 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adjectival modifier </w:t>
      </w:r>
      <w:r w:rsidR="00421B43"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>whole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allows a singular co</w:t>
      </w:r>
      <w:r w:rsidR="00F71FF7">
        <w:rPr>
          <w:rFonts w:ascii="Times New Roman" w:eastAsia="Calibri" w:hAnsi="Times New Roman" w:cs="Times New Roman"/>
          <w:sz w:val="24"/>
          <w:szCs w:val="24"/>
          <w:lang w:val="en-GB"/>
        </w:rPr>
        <w:t>unt</w:t>
      </w:r>
      <w:r w:rsid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NPs to satisfy the requirement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(1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4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a. The whole collection is expensive.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b. John has evaluated the whole class.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(15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) John has counted the whole class.</w:t>
      </w:r>
    </w:p>
    <w:p w:rsidR="00421B43" w:rsidRPr="00421B43" w:rsidRDefault="00D452C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[2] </w:t>
      </w:r>
      <w:r w:rsidR="00F71F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Special </w:t>
      </w:r>
      <w:r w:rsid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(singular) </w:t>
      </w:r>
      <w:r w:rsidR="00F71FF7">
        <w:rPr>
          <w:rFonts w:ascii="Times New Roman" w:eastAsia="Calibri" w:hAnsi="Times New Roman" w:cs="Times New Roman"/>
          <w:sz w:val="24"/>
          <w:szCs w:val="24"/>
          <w:lang w:val="en-GB"/>
        </w:rPr>
        <w:t>quantifiers</w:t>
      </w:r>
      <w:r w:rsid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can satisfy the reauirement: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16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a. 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Even John has evaluated</w:t>
      </w:r>
      <w:r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something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, namely the paintings.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b. 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There is </w:t>
      </w:r>
      <w:r w:rsidR="00421B43"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>something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John is unable to count, namely the grains of sand.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(17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a. </w:t>
      </w:r>
      <w:r w:rsidR="00421B43"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What 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did John evaluate? – The paintings.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</w:t>
      </w:r>
      <w:r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What 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can’t John distinguish? – The cups.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>several things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ranges over pluralities, allowing for both distributivity and part-related predicates: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(18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a. John has evaluated </w:t>
      </w:r>
      <w:r w:rsidR="00421B43"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>several things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>, the paintings, the sculptures, and the drawings.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There are </w:t>
      </w:r>
      <w:r w:rsidRPr="00421B43">
        <w:rPr>
          <w:rFonts w:ascii="Times New Roman" w:eastAsia="Calibri" w:hAnsi="Times New Roman" w:cs="Times New Roman"/>
          <w:i/>
          <w:sz w:val="24"/>
          <w:szCs w:val="24"/>
          <w:lang w:val="en-GB"/>
        </w:rPr>
        <w:t>several things</w:t>
      </w:r>
      <w:r w:rsidRPr="00421B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John cannot distinguish, the cups, the glasses, and the plates.</w:t>
      </w:r>
    </w:p>
    <w:p w:rsidR="00421B43" w:rsidRPr="00421B43" w:rsidRDefault="00D452C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--------------------------------------------------------------------------------------------------------------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21B4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Attributive readings of definite plurals</w:t>
      </w:r>
    </w:p>
    <w:p w:rsidR="00421B43" w:rsidRP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70AD1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>) a. Every year, John needs to evaluate the students.</w:t>
      </w:r>
    </w:p>
    <w:p w:rsidR="00421B43" w:rsidRPr="00421B43" w:rsidRDefault="00C70AD1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421B43"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Every year, John needs to compare the students (in the various classes, whoever they </w:t>
      </w:r>
    </w:p>
    <w:p w:rsidR="00421B43" w:rsidRDefault="00421B43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1B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may be).</w:t>
      </w:r>
    </w:p>
    <w:p w:rsidR="0054565B" w:rsidRDefault="0054565B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E85792" w:rsidRPr="00421B43" w:rsidRDefault="0054565B" w:rsidP="00421B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4565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Constraints on part-related readings regarding subgroups:</w:t>
      </w:r>
    </w:p>
    <w:p w:rsidR="00E85792" w:rsidRPr="00E85792" w:rsidRDefault="00C70AD1" w:rsidP="00E8579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(20</w:t>
      </w:r>
      <w:r w:rsidR="00E85792" w:rsidRPr="00E85792">
        <w:rPr>
          <w:rFonts w:ascii="Times New Roman" w:eastAsia="Calibri" w:hAnsi="Times New Roman" w:cs="Times New Roman"/>
          <w:sz w:val="24"/>
          <w:szCs w:val="24"/>
          <w:lang w:val="en-GB"/>
        </w:rPr>
        <w:t>) a. John compared the men and women.</w:t>
      </w:r>
    </w:p>
    <w:p w:rsidR="00E85792" w:rsidRPr="00E85792" w:rsidRDefault="00E85792" w:rsidP="00E8579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8579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John compared the men and the women.</w:t>
      </w:r>
    </w:p>
    <w:p w:rsidR="004A0BBA" w:rsidRDefault="00E85792" w:rsidP="00E85792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85792">
        <w:rPr>
          <w:rFonts w:ascii="Times New Roman" w:eastAsia="Calibri" w:hAnsi="Times New Roman" w:cs="Times New Roman"/>
          <w:sz w:val="24"/>
          <w:szCs w:val="24"/>
          <w:lang w:val="en-GB"/>
        </w:rPr>
        <w:t>difference in the availability of higher-level plurality readings.</w:t>
      </w:r>
    </w:p>
    <w:p w:rsidR="001A28DB" w:rsidRDefault="0054565B" w:rsidP="00E85792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</w:t>
      </w:r>
    </w:p>
    <w:p w:rsidR="001A28DB" w:rsidRPr="001A28DB" w:rsidRDefault="001A28DB" w:rsidP="001A28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A28D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Reference to a plurality and number-related predicates</w:t>
      </w:r>
    </w:p>
    <w:p w:rsidR="001A28DB" w:rsidRPr="001A28DB" w:rsidRDefault="00C70AD1" w:rsidP="001A28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(21</w:t>
      </w:r>
      <w:r w:rsidR="001A28DB" w:rsidRPr="001A28DB">
        <w:rPr>
          <w:rFonts w:ascii="Times New Roman" w:eastAsia="Calibri" w:hAnsi="Times New Roman" w:cs="Times New Roman"/>
          <w:sz w:val="24"/>
          <w:szCs w:val="24"/>
          <w:lang w:val="en-US"/>
        </w:rPr>
        <w:t>) a. John counted the people.</w:t>
      </w:r>
    </w:p>
    <w:p w:rsidR="001A28DB" w:rsidRPr="001A28DB" w:rsidRDefault="001A28DB" w:rsidP="001A28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28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stones are numerous.</w:t>
      </w:r>
    </w:p>
    <w:p w:rsidR="001A28DB" w:rsidRPr="001A28DB" w:rsidRDefault="001A28DB" w:rsidP="001A28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28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The students are twenty in number.</w:t>
      </w:r>
    </w:p>
    <w:p w:rsidR="001A28DB" w:rsidRPr="001A28DB" w:rsidRDefault="00C70AD1" w:rsidP="001A28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(22</w:t>
      </w:r>
      <w:r w:rsidR="001A28DB" w:rsidRPr="001A28DB">
        <w:rPr>
          <w:rFonts w:ascii="Times New Roman" w:eastAsia="Calibri" w:hAnsi="Times New Roman" w:cs="Times New Roman"/>
          <w:sz w:val="24"/>
          <w:szCs w:val="24"/>
          <w:lang w:val="en-US"/>
        </w:rPr>
        <w:t>) a. John enumerated the students.</w:t>
      </w:r>
    </w:p>
    <w:p w:rsidR="001A28DB" w:rsidRPr="001A28DB" w:rsidRDefault="001A28DB" w:rsidP="001A28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28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named the students.</w:t>
      </w:r>
    </w:p>
    <w:p w:rsidR="008F5910" w:rsidRP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591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70AD1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 w:rsidRPr="008F5910">
        <w:rPr>
          <w:rFonts w:ascii="Times New Roman" w:eastAsia="Calibri" w:hAnsi="Times New Roman" w:cs="Times New Roman"/>
          <w:sz w:val="24"/>
          <w:szCs w:val="24"/>
          <w:lang w:val="en-US"/>
        </w:rPr>
        <w:t>) a. John counted the ten children – he counted one.</w:t>
      </w:r>
    </w:p>
    <w:p w:rsidR="008F5910" w:rsidRP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59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counted Mary – he counted one.</w:t>
      </w:r>
    </w:p>
    <w:p w:rsidR="008F5910" w:rsidRPr="0054565B" w:rsidRDefault="0054565B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-----------------------------------------------------------------------------------------------------------------</w:t>
      </w:r>
    </w:p>
    <w:p w:rsidR="008F5910" w:rsidRPr="008F5910" w:rsidRDefault="0054565B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Plural Reference and the </w:t>
      </w:r>
      <w:r w:rsidR="008F5910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Accessibility Requirement</w:t>
      </w:r>
    </w:p>
    <w:p w:rsid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Coercion, type shift</w:t>
      </w:r>
    </w:p>
    <w:p w:rsidR="008F5910" w:rsidRPr="008F5910" w:rsidRDefault="00C70AD1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(24</w:t>
      </w:r>
      <w:r w:rsidR="008F5910"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>) a. John started reading the book.</w:t>
      </w:r>
    </w:p>
    <w:p w:rsidR="008F5910" w:rsidRP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John started the book.</w:t>
      </w:r>
    </w:p>
    <w:p w:rsidR="008F5910" w:rsidRPr="008F5910" w:rsidRDefault="00C70AD1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(2</w:t>
      </w:r>
      <w:r w:rsidR="008F5910"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>5) a. John proposed watching a movie.</w:t>
      </w:r>
    </w:p>
    <w:p w:rsidR="008F5910" w:rsidRP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John proposed a movie.</w:t>
      </w:r>
    </w:p>
    <w:p w:rsidR="008F5910" w:rsidRP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>With predicates subject to the Accessibility Requirement, coercion is completely impossible:</w:t>
      </w:r>
    </w:p>
    <w:p w:rsidR="008F5910" w:rsidRP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>6) a. The collection is expensive.</w:t>
      </w:r>
    </w:p>
    <w:p w:rsidR="00683AB3" w:rsidRPr="008F5910" w:rsidRDefault="008F5910" w:rsidP="008F59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59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b. The class is similar.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C70AD1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Pr="00683AB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7) </w:t>
      </w:r>
      <w:r w:rsidRPr="00683AB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The Accessibility Requirement as a Condition on Plural Argument Places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A predicate or semantic operation making reference to the parts, but not the whole of an 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argument in a particular argument position is a plural predicate with respect to that 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argument position.</w:t>
      </w:r>
    </w:p>
    <w:p w:rsidR="001A28DB" w:rsidRDefault="0054565B" w:rsidP="00E85792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</w:t>
      </w:r>
    </w:p>
    <w:p w:rsidR="0054565B" w:rsidRPr="00C70AD1" w:rsidRDefault="0054565B" w:rsidP="00AE53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C70AD1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lastRenderedPageBreak/>
        <w:t>Plural Reference and higher-level plurality readings</w:t>
      </w:r>
    </w:p>
    <w:p w:rsidR="00AE5335" w:rsidRPr="00AE5335" w:rsidRDefault="00C70AD1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(28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a. 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a situation s, </w:t>
      </w:r>
    </w:p>
    <w:p w:rsidR="00AE5335" w:rsidRPr="00AE5335" w:rsidRDefault="00AE5335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[D VP]([</w:t>
      </w:r>
      <w:r w:rsidRPr="00AE533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N’</w:t>
      </w:r>
      <w:r w:rsidRPr="00AE533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plur</w:t>
      </w: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>], s) = 1 iff  for all xx, xx &lt;</w:t>
      </w:r>
      <w:r w:rsidRPr="00AE533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</w:t>
      </w: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AE533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N’</w:t>
      </w:r>
      <w:r w:rsidRPr="00AE533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plur</w:t>
      </w: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>] and INT</w:t>
      </w:r>
      <w:r w:rsidRPr="00AE533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</w:t>
      </w: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(xx), then </w:t>
      </w:r>
    </w:p>
    <w:p w:rsidR="00AE5335" w:rsidRPr="00AE5335" w:rsidRDefault="00AE5335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E53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[VP](d) = 1.</w:t>
      </w:r>
    </w:p>
    <w:p w:rsidR="00AE5335" w:rsidRPr="00AE5335" w:rsidRDefault="00C70AD1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(29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) b. For an individual d, a plurality xx, and a situation s, [</w:t>
      </w:r>
      <w:r w:rsidR="00AE5335" w:rsidRPr="00AE5335">
        <w:rPr>
          <w:rFonts w:ascii="Times New Roman" w:eastAsia="Calibri" w:hAnsi="Times New Roman" w:cs="Times New Roman"/>
          <w:i/>
          <w:sz w:val="24"/>
          <w:szCs w:val="24"/>
          <w:lang w:val="en-GB"/>
        </w:rPr>
        <w:t>compare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](d, &lt;xx, s&gt;) = 1 iff </w:t>
      </w:r>
    </w:p>
    <w:p w:rsidR="00AE5335" w:rsidRPr="00AE5335" w:rsidRDefault="00AE5335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[</w:t>
      </w:r>
      <w:r w:rsidRPr="00AE5335">
        <w:rPr>
          <w:rFonts w:ascii="Times New Roman" w:eastAsia="Calibri" w:hAnsi="Times New Roman" w:cs="Times New Roman"/>
          <w:i/>
          <w:sz w:val="24"/>
          <w:szCs w:val="24"/>
          <w:lang w:val="en-GB"/>
        </w:rPr>
        <w:t>compare to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](d, yy, zz) = 1 for any yy and zz such that yy &lt; xx, zz &lt; xx, INT</w:t>
      </w:r>
      <w:r w:rsidRPr="00AE5335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s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(yy), and</w:t>
      </w:r>
    </w:p>
    <w:p w:rsidR="00AE5335" w:rsidRPr="00AE5335" w:rsidRDefault="00AE5335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INT</w:t>
      </w:r>
      <w:r w:rsidRPr="00AE5335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s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(zz).</w:t>
      </w:r>
    </w:p>
    <w:p w:rsidR="0054565B" w:rsidRDefault="00977A1F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N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ot just integrity conditions as conveyed by the content of predicates matter, but also metalinguistic integrity conditions, imposed by the use of referential terms</w:t>
      </w:r>
      <w:r w:rsidR="005456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which will become an 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obligatory part of the content of the reference situation</w:t>
      </w:r>
    </w:p>
    <w:p w:rsidR="0054565B" w:rsidRDefault="00AE5335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77A1F">
        <w:rPr>
          <w:rFonts w:ascii="Times New Roman" w:eastAsia="Calibri" w:hAnsi="Times New Roman" w:cs="Times New Roman"/>
          <w:i/>
          <w:sz w:val="24"/>
          <w:szCs w:val="24"/>
          <w:lang w:val="en-GB"/>
        </w:rPr>
        <w:t>T</w:t>
      </w:r>
      <w:r w:rsidRPr="00AE5335">
        <w:rPr>
          <w:rFonts w:ascii="Times New Roman" w:eastAsia="Calibri" w:hAnsi="Times New Roman" w:cs="Times New Roman"/>
          <w:i/>
          <w:sz w:val="24"/>
          <w:szCs w:val="24"/>
          <w:lang w:val="en-GB"/>
        </w:rPr>
        <w:t>he men and the women</w:t>
      </w:r>
      <w:r w:rsidR="0054565B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="00977A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reference situation obligatorily specif</w:t>
      </w:r>
      <w:r w:rsidR="0054565B">
        <w:rPr>
          <w:rFonts w:ascii="Times New Roman" w:eastAsia="Calibri" w:hAnsi="Times New Roman" w:cs="Times New Roman"/>
          <w:sz w:val="24"/>
          <w:szCs w:val="24"/>
          <w:lang w:val="en-GB"/>
        </w:rPr>
        <w:t>ies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two pluralities as integrated wholes, on the basis of 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sym w:font="Symbol" w:char="F06C"/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x[Ref(x, </w:t>
      </w:r>
      <w:r w:rsidRPr="00AE533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the 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N’)]</w:t>
      </w:r>
      <w:r w:rsidR="00977A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property of being a referent of </w:t>
      </w:r>
      <w:r w:rsidRPr="00AE5335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</w:t>
      </w:r>
      <w:r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N’). </w:t>
      </w:r>
    </w:p>
    <w:p w:rsidR="00AE5335" w:rsidRPr="00AE5335" w:rsidRDefault="00977A1F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T</w:t>
      </w:r>
      <w:r w:rsidR="00AE5335" w:rsidRPr="00AE5335">
        <w:rPr>
          <w:rFonts w:ascii="Times New Roman" w:eastAsia="Calibri" w:hAnsi="Times New Roman" w:cs="Times New Roman"/>
          <w:i/>
          <w:sz w:val="24"/>
          <w:szCs w:val="24"/>
          <w:lang w:val="en-GB"/>
        </w:rPr>
        <w:t>he men and women</w:t>
      </w:r>
      <w:r w:rsidR="005456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referen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ce situation either specifies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 single plurality as a maximal plurality falling under 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sym w:font="Symbol" w:char="F06C"/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x[man(x) v woman(x)] or two sub-pluralities as maximal pluralities falling under 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sym w:font="Symbol" w:char="F06C"/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x[man(x)] and </w:t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sym w:font="Symbol" w:char="F06C"/>
      </w:r>
      <w:r w:rsidR="00AE5335" w:rsidRPr="00AE5335">
        <w:rPr>
          <w:rFonts w:ascii="Times New Roman" w:eastAsia="Calibri" w:hAnsi="Times New Roman" w:cs="Times New Roman"/>
          <w:sz w:val="24"/>
          <w:szCs w:val="24"/>
          <w:lang w:val="en-GB"/>
        </w:rPr>
        <w:t>x[woman(x)] respectively</w:t>
      </w:r>
    </w:p>
    <w:p w:rsidR="00AE5335" w:rsidRDefault="0054565B" w:rsidP="0054565B">
      <w:p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</w:t>
      </w:r>
    </w:p>
    <w:p w:rsidR="00683AB3" w:rsidRPr="0054565B" w:rsidRDefault="00683AB3" w:rsidP="005456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4565B">
        <w:rPr>
          <w:rFonts w:ascii="Times New Roman" w:hAnsi="Times New Roman" w:cs="Times New Roman"/>
          <w:sz w:val="24"/>
          <w:szCs w:val="24"/>
          <w:u w:val="single"/>
          <w:lang w:val="en-GB"/>
        </w:rPr>
        <w:t>Restrictions on collectiv</w:t>
      </w:r>
      <w:r w:rsidR="0054565B" w:rsidRPr="0054565B">
        <w:rPr>
          <w:rFonts w:ascii="Times New Roman" w:hAnsi="Times New Roman" w:cs="Times New Roman"/>
          <w:sz w:val="24"/>
          <w:szCs w:val="24"/>
          <w:u w:val="single"/>
          <w:lang w:val="en-GB"/>
        </w:rPr>
        <w:t>e readings</w:t>
      </w:r>
    </w:p>
    <w:p w:rsidR="00683AB3" w:rsidRPr="00683AB3" w:rsidRDefault="00683AB3" w:rsidP="005456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70AD1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) a. The children are big.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grains are round.</w:t>
      </w:r>
    </w:p>
    <w:p w:rsid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977A1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. The short speeches were long.</w:t>
      </w:r>
    </w:p>
    <w:p w:rsidR="00AE5335" w:rsidRPr="00683AB3" w:rsidRDefault="00C70AD1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Collective predication as derivative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Plural predicates that alternate with a relational predicate such as </w:t>
      </w:r>
      <w:r w:rsidRPr="00683AB3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neighbors, roommates, equal (to), compare (with), similar (to), overlap (with), add (to)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predicates </w:t>
      </w:r>
      <w:r w:rsidR="00AE5335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multigrade even with plural arguments involves the very same relation as is expressed by the explicit relational variant.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[2] Event-related predicates such as</w:t>
      </w:r>
      <w:r w:rsidRPr="00683AB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gather 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683AB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lift the piano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plural predicates on the basis of relations of participation of individuals in a collective event. </w:t>
      </w:r>
    </w:p>
    <w:p w:rsidR="00683AB3" w:rsidRPr="00683AB3" w:rsidRDefault="00683AB3" w:rsidP="00683A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[3] Measure-related predicates such as</w:t>
      </w:r>
      <w:r w:rsidRPr="00683AB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heavy</w:t>
      </w:r>
    </w:p>
    <w:p w:rsidR="00683AB3" w:rsidRDefault="00683AB3" w:rsidP="00683AB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if P(x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) and P(x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), then P(xx, d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+d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>), for the plurality xx consisting of individuals x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x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degrees d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d</w:t>
      </w:r>
      <w:r w:rsidRPr="00683AB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683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36165D" w:rsidRDefault="0036165D" w:rsidP="00683AB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977A1F" w:rsidRPr="0036165D" w:rsidRDefault="00977A1F" w:rsidP="00683AB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6165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Reference</w:t>
      </w:r>
      <w:r w:rsidR="007B39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reference</w:t>
      </w:r>
      <w:bookmarkStart w:id="0" w:name="_GoBack"/>
      <w:bookmarkEnd w:id="0"/>
      <w:r w:rsidR="0036165D" w:rsidRPr="0036165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 in:</w:t>
      </w:r>
    </w:p>
    <w:p w:rsidR="00977A1F" w:rsidRPr="0036165D" w:rsidRDefault="00977A1F" w:rsidP="00361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977A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‘Plural Reference and Reference to a Plurality. Linguistic Facts and Semantic Analyses’. To appear in M. Carrara / A. Arapinis / F. Moltmann (eds.): </w:t>
      </w:r>
      <w:r w:rsidRPr="00977A1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Unity and Plurality. Philosophy, Logic, and Semantics</w:t>
      </w:r>
      <w:r w:rsidRPr="00977A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Oxford University Press</w:t>
      </w:r>
    </w:p>
    <w:sectPr w:rsidR="00977A1F" w:rsidRPr="003616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9E" w:rsidRDefault="00227A9E" w:rsidP="00D8793B">
      <w:pPr>
        <w:spacing w:after="0" w:line="240" w:lineRule="auto"/>
      </w:pPr>
      <w:r>
        <w:separator/>
      </w:r>
    </w:p>
  </w:endnote>
  <w:endnote w:type="continuationSeparator" w:id="0">
    <w:p w:rsidR="00227A9E" w:rsidRDefault="00227A9E" w:rsidP="00D8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9E" w:rsidRDefault="00227A9E" w:rsidP="00D8793B">
      <w:pPr>
        <w:spacing w:after="0" w:line="240" w:lineRule="auto"/>
      </w:pPr>
      <w:r>
        <w:separator/>
      </w:r>
    </w:p>
  </w:footnote>
  <w:footnote w:type="continuationSeparator" w:id="0">
    <w:p w:rsidR="00227A9E" w:rsidRDefault="00227A9E" w:rsidP="00D8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04654"/>
      <w:docPartObj>
        <w:docPartGallery w:val="Page Numbers (Top of Page)"/>
        <w:docPartUnique/>
      </w:docPartObj>
    </w:sdtPr>
    <w:sdtContent>
      <w:p w:rsidR="00683AB3" w:rsidRDefault="00683AB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BC">
          <w:rPr>
            <w:noProof/>
          </w:rPr>
          <w:t>4</w:t>
        </w:r>
        <w:r>
          <w:fldChar w:fldCharType="end"/>
        </w:r>
      </w:p>
    </w:sdtContent>
  </w:sdt>
  <w:p w:rsidR="00683AB3" w:rsidRDefault="00683A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C92"/>
    <w:multiLevelType w:val="hybridMultilevel"/>
    <w:tmpl w:val="5FB8ADE2"/>
    <w:lvl w:ilvl="0" w:tplc="462207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D"/>
    <w:rsid w:val="001A0873"/>
    <w:rsid w:val="001A28DB"/>
    <w:rsid w:val="00227A9E"/>
    <w:rsid w:val="0036165D"/>
    <w:rsid w:val="00421B43"/>
    <w:rsid w:val="0043469D"/>
    <w:rsid w:val="004A0BBA"/>
    <w:rsid w:val="0054565B"/>
    <w:rsid w:val="00683AB3"/>
    <w:rsid w:val="006A2FEA"/>
    <w:rsid w:val="007B39BC"/>
    <w:rsid w:val="008F5910"/>
    <w:rsid w:val="00977A1F"/>
    <w:rsid w:val="00AE5335"/>
    <w:rsid w:val="00C70AD1"/>
    <w:rsid w:val="00D452C3"/>
    <w:rsid w:val="00D8793B"/>
    <w:rsid w:val="00E85792"/>
    <w:rsid w:val="00F60BB4"/>
    <w:rsid w:val="00F7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793B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793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8793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8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AB3"/>
  </w:style>
  <w:style w:type="paragraph" w:styleId="Pieddepage">
    <w:name w:val="footer"/>
    <w:basedOn w:val="Normal"/>
    <w:link w:val="PieddepageCar"/>
    <w:uiPriority w:val="99"/>
    <w:unhideWhenUsed/>
    <w:rsid w:val="0068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AB3"/>
  </w:style>
  <w:style w:type="paragraph" w:styleId="Paragraphedeliste">
    <w:name w:val="List Paragraph"/>
    <w:basedOn w:val="Normal"/>
    <w:uiPriority w:val="34"/>
    <w:qFormat/>
    <w:rsid w:val="00D45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793B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793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8793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8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AB3"/>
  </w:style>
  <w:style w:type="paragraph" w:styleId="Pieddepage">
    <w:name w:val="footer"/>
    <w:basedOn w:val="Normal"/>
    <w:link w:val="PieddepageCar"/>
    <w:uiPriority w:val="99"/>
    <w:unhideWhenUsed/>
    <w:rsid w:val="0068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AB3"/>
  </w:style>
  <w:style w:type="paragraph" w:styleId="Paragraphedeliste">
    <w:name w:val="List Paragraph"/>
    <w:basedOn w:val="Normal"/>
    <w:uiPriority w:val="34"/>
    <w:qFormat/>
    <w:rsid w:val="00D4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2ECD-A2C5-48C4-A1E4-2F564B2E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2014-09-16T11:05:00Z</dcterms:created>
  <dcterms:modified xsi:type="dcterms:W3CDTF">2014-09-16T11:05:00Z</dcterms:modified>
</cp:coreProperties>
</file>